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FF0000"/>
          <w:sz w:val="36"/>
          <w:szCs w:val="36"/>
        </w:rPr>
        <w:t>№</w:t>
      </w:r>
      <w:r>
        <w:rPr>
          <w:rFonts w:hint="eastAsia" w:ascii="宋体" w:hAnsi="宋体" w:eastAsia="宋体" w:cs="宋体"/>
          <w:color w:val="FF0000"/>
          <w:sz w:val="36"/>
          <w:szCs w:val="36"/>
          <w:lang w:val="en-US" w:eastAsia="zh-CN"/>
        </w:rPr>
        <w:t>01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>
      <w:pPr>
        <w:snapToGrid w:val="0"/>
        <w:jc w:val="right"/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—</w:t>
      </w:r>
      <w:r>
        <w:rPr>
          <w:rFonts w:hint="eastAsia" w:ascii="宋体" w:hAnsi="宋体"/>
          <w:b/>
          <w:sz w:val="22"/>
          <w:szCs w:val="22"/>
          <w:lang w:val="en-US" w:eastAsia="zh-CN"/>
        </w:rPr>
        <w:t>建筑材料及构配件类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（三十一）</w:t>
      </w: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18"/>
          <w:szCs w:val="20"/>
        </w:rPr>
        <w:t>受控号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202400014</w:t>
      </w:r>
    </w:p>
    <w:p>
      <w:pPr>
        <w:snapToGrid w:val="0"/>
        <w:jc w:val="center"/>
        <w:rPr>
          <w:rFonts w:hint="default" w:ascii="宋体" w:hAnsi="宋体" w:cs="宋体"/>
          <w:sz w:val="20"/>
          <w:szCs w:val="20"/>
          <w:lang w:val="en-US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</w:t>
      </w:r>
    </w:p>
    <w:tbl>
      <w:tblPr>
        <w:tblStyle w:val="2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326"/>
        <w:gridCol w:w="1331"/>
        <w:gridCol w:w="1436"/>
        <w:gridCol w:w="1077"/>
        <w:gridCol w:w="733"/>
        <w:gridCol w:w="1247"/>
        <w:gridCol w:w="1072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</w:t>
            </w:r>
          </w:p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托</w:t>
            </w:r>
          </w:p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方</w:t>
            </w:r>
          </w:p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填</w:t>
            </w:r>
          </w:p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  <w:r>
              <w:rPr>
                <w:rFonts w:hint="eastAsia" w:ascii="宋体" w:hAnsi="宋体" w:cs="Arial"/>
                <w:szCs w:val="21"/>
              </w:rPr>
              <w:t>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工程名称</w:t>
            </w:r>
          </w:p>
        </w:tc>
        <w:tc>
          <w:tcPr>
            <w:tcW w:w="8811" w:type="dxa"/>
            <w:gridSpan w:val="7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委托单位</w:t>
            </w:r>
          </w:p>
        </w:tc>
        <w:tc>
          <w:tcPr>
            <w:tcW w:w="457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委托日期</w:t>
            </w:r>
          </w:p>
        </w:tc>
        <w:tc>
          <w:tcPr>
            <w:tcW w:w="2987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ordWrap w:val="0"/>
              <w:ind w:left="-90" w:leftChars="-43" w:right="-94" w:rightChars="-45"/>
              <w:jc w:val="right"/>
              <w:rPr>
                <w:rFonts w:hint="eastAsia"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施工单位</w:t>
            </w:r>
          </w:p>
        </w:tc>
        <w:tc>
          <w:tcPr>
            <w:tcW w:w="457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工程地址</w:t>
            </w:r>
          </w:p>
        </w:tc>
        <w:tc>
          <w:tcPr>
            <w:tcW w:w="2987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cs="Arial"/>
                <w:szCs w:val="21"/>
              </w:rPr>
              <w:t>单位</w:t>
            </w:r>
          </w:p>
        </w:tc>
        <w:tc>
          <w:tcPr>
            <w:tcW w:w="457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7" w:leftChars="-51" w:right="-99" w:rightChars="-47"/>
              <w:jc w:val="center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</w:rPr>
              <w:t>见证编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号</w:t>
            </w:r>
          </w:p>
        </w:tc>
        <w:tc>
          <w:tcPr>
            <w:tcW w:w="2987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检测类型</w:t>
            </w:r>
          </w:p>
        </w:tc>
        <w:tc>
          <w:tcPr>
            <w:tcW w:w="1331" w:type="dxa"/>
            <w:noWrap w:val="0"/>
            <w:vAlign w:val="center"/>
          </w:tcPr>
          <w:p>
            <w:pPr>
              <w:ind w:left="-90" w:leftChars="-43" w:right="-94" w:rightChars="-45" w:firstLine="105" w:firstLineChars="50"/>
              <w:rPr>
                <w:rFonts w:hint="eastAsia" w:ascii="宋体" w:hAnsi="宋体" w:cs="Arial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</w:rPr>
              <w:t>□ 委托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检测</w:t>
            </w:r>
            <w:bookmarkStart w:id="0" w:name="_GoBack"/>
            <w:bookmarkEnd w:id="0"/>
          </w:p>
        </w:tc>
        <w:tc>
          <w:tcPr>
            <w:tcW w:w="143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委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托 </w:t>
            </w:r>
            <w:r>
              <w:rPr>
                <w:rFonts w:hint="eastAsia" w:ascii="宋体" w:hAnsi="宋体" w:cs="Arial"/>
                <w:szCs w:val="21"/>
              </w:rPr>
              <w:t>人</w:t>
            </w:r>
          </w:p>
        </w:tc>
        <w:tc>
          <w:tcPr>
            <w:tcW w:w="18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联系电话</w:t>
            </w:r>
          </w:p>
        </w:tc>
        <w:tc>
          <w:tcPr>
            <w:tcW w:w="2987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ind w:left="-90" w:leftChars="-43" w:right="-94" w:rightChars="-45" w:firstLine="105" w:firstLineChars="50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见证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取样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default" w:ascii="宋体" w:hAnsi="宋体" w:eastAsia="宋体" w:cs="Arial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</w:rPr>
              <w:t>见证人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及编号</w:t>
            </w:r>
          </w:p>
        </w:tc>
        <w:tc>
          <w:tcPr>
            <w:tcW w:w="18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联系电话</w:t>
            </w:r>
          </w:p>
        </w:tc>
        <w:tc>
          <w:tcPr>
            <w:tcW w:w="2987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137" w:type="dxa"/>
            <w:gridSpan w:val="8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检测产品及参数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样品名称</w:t>
            </w:r>
          </w:p>
        </w:tc>
        <w:tc>
          <w:tcPr>
            <w:tcW w:w="457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样品数量</w:t>
            </w:r>
          </w:p>
        </w:tc>
        <w:tc>
          <w:tcPr>
            <w:tcW w:w="2987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规格型号</w:t>
            </w:r>
          </w:p>
        </w:tc>
        <w:tc>
          <w:tcPr>
            <w:tcW w:w="457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-6"/>
                <w:szCs w:val="21"/>
              </w:rPr>
            </w:pPr>
            <w:r>
              <w:rPr>
                <w:rFonts w:hint="eastAsia"/>
                <w:szCs w:val="21"/>
              </w:rPr>
              <w:t>代表数量</w:t>
            </w:r>
          </w:p>
        </w:tc>
        <w:tc>
          <w:tcPr>
            <w:tcW w:w="2987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生产单位</w:t>
            </w:r>
          </w:p>
        </w:tc>
        <w:tc>
          <w:tcPr>
            <w:tcW w:w="457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7" w:leftChars="-51" w:right="-105" w:rightChars="-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出厂编</w:t>
            </w:r>
            <w:r>
              <w:rPr>
                <w:rFonts w:hint="eastAsia" w:ascii="宋体" w:hAnsi="宋体"/>
                <w:spacing w:val="-6"/>
                <w:szCs w:val="21"/>
              </w:rPr>
              <w:t>(</w:t>
            </w:r>
            <w:r>
              <w:rPr>
                <w:rFonts w:hint="eastAsia"/>
                <w:spacing w:val="-6"/>
                <w:szCs w:val="21"/>
              </w:rPr>
              <w:t>批</w:t>
            </w:r>
            <w:r>
              <w:rPr>
                <w:rFonts w:hint="eastAsia" w:ascii="宋体" w:hAnsi="宋体"/>
                <w:spacing w:val="-6"/>
                <w:szCs w:val="21"/>
              </w:rPr>
              <w:t>)</w:t>
            </w:r>
            <w:r>
              <w:rPr>
                <w:rFonts w:hint="eastAsia"/>
                <w:spacing w:val="-6"/>
                <w:szCs w:val="21"/>
              </w:rPr>
              <w:t>号</w:t>
            </w:r>
          </w:p>
        </w:tc>
        <w:tc>
          <w:tcPr>
            <w:tcW w:w="2987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检测参数</w:t>
            </w:r>
          </w:p>
        </w:tc>
        <w:tc>
          <w:tcPr>
            <w:tcW w:w="8811" w:type="dxa"/>
            <w:gridSpan w:val="7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cs="Arial"/>
                <w:szCs w:val="21"/>
                <w:lang w:val="en-US"/>
              </w:rPr>
            </w:pP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4"/>
                <w:lang w:eastAsia="zh-CN"/>
              </w:rPr>
              <w:t>外观质量</w:t>
            </w: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 xml:space="preserve">     □ 尺寸     □ 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工程部位</w:t>
            </w:r>
          </w:p>
        </w:tc>
        <w:tc>
          <w:tcPr>
            <w:tcW w:w="8811" w:type="dxa"/>
            <w:gridSpan w:val="7"/>
            <w:tcBorders>
              <w:right w:val="single" w:color="auto" w:sz="8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报告领取方式</w:t>
            </w:r>
          </w:p>
        </w:tc>
        <w:tc>
          <w:tcPr>
            <w:tcW w:w="5824" w:type="dxa"/>
            <w:gridSpan w:val="5"/>
            <w:tcBorders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自取 □邮寄 地址：</w:t>
            </w:r>
          </w:p>
        </w:tc>
        <w:tc>
          <w:tcPr>
            <w:tcW w:w="1072" w:type="dxa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报告分数</w:t>
            </w:r>
          </w:p>
        </w:tc>
        <w:tc>
          <w:tcPr>
            <w:tcW w:w="1915" w:type="dxa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ind w:right="-38" w:rightChars="-18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一式     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检测单位填写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样品处理</w:t>
            </w:r>
          </w:p>
        </w:tc>
        <w:tc>
          <w:tcPr>
            <w:tcW w:w="4577" w:type="dxa"/>
            <w:gridSpan w:val="4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退还     □ 不退还</w:t>
            </w:r>
          </w:p>
        </w:tc>
        <w:tc>
          <w:tcPr>
            <w:tcW w:w="1247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配套物品</w:t>
            </w:r>
          </w:p>
        </w:tc>
        <w:tc>
          <w:tcPr>
            <w:tcW w:w="2987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齐全     □ 不齐全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样品状态</w:t>
            </w:r>
          </w:p>
        </w:tc>
        <w:tc>
          <w:tcPr>
            <w:tcW w:w="8811" w:type="dxa"/>
            <w:gridSpan w:val="7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正常 □不正常及详细描述：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到样日期</w:t>
            </w:r>
          </w:p>
        </w:tc>
        <w:tc>
          <w:tcPr>
            <w:tcW w:w="3844" w:type="dxa"/>
            <w:gridSpan w:val="3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年      月     日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报告及退样领取日期</w:t>
            </w:r>
          </w:p>
        </w:tc>
        <w:tc>
          <w:tcPr>
            <w:tcW w:w="2987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>
            <w:pPr>
              <w:wordWrap w:val="0"/>
              <w:ind w:left="-90" w:leftChars="-43" w:right="-94" w:rightChars="-45"/>
              <w:jc w:val="right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     年     月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检测依据</w:t>
            </w:r>
          </w:p>
        </w:tc>
        <w:tc>
          <w:tcPr>
            <w:tcW w:w="8811" w:type="dxa"/>
            <w:gridSpan w:val="7"/>
            <w:tcBorders>
              <w:right w:val="single" w:color="auto" w:sz="8" w:space="0"/>
            </w:tcBorders>
            <w:noWrap w:val="0"/>
            <w:vAlign w:val="top"/>
          </w:tcPr>
          <w:p>
            <w:pPr>
              <w:ind w:left="210" w:hanging="210" w:hangingChars="100"/>
              <w:jc w:val="left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□《预应力筋用锚具、夹具和连接器》GB/T 14370-2015</w:t>
            </w:r>
          </w:p>
          <w:p>
            <w:pPr>
              <w:ind w:left="210" w:hanging="210" w:hangingChars="100"/>
              <w:jc w:val="left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 xml:space="preserve">□《无损检测 磁粉检测 第1部分：总则》GB/T 15822.1-2005   </w:t>
            </w:r>
          </w:p>
          <w:p>
            <w:pPr>
              <w:ind w:left="210" w:hanging="210" w:hangingChars="100"/>
              <w:jc w:val="left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□《预应力筋用锚具、夹具和连接器应用技术规程》JGJ 85-2010</w:t>
            </w:r>
          </w:p>
          <w:p>
            <w:pPr>
              <w:ind w:left="210" w:hanging="210" w:hangingChars="100"/>
              <w:jc w:val="left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□《金属材料 洛氏硬度试验 第1部分：试验方法》GB/T 230.1-2018</w:t>
            </w:r>
          </w:p>
          <w:p>
            <w:pPr>
              <w:ind w:left="210" w:hanging="210" w:hangingChars="100"/>
              <w:jc w:val="left"/>
              <w:rPr>
                <w:rFonts w:hint="eastAsia"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 xml:space="preserve">□《金属材料 布氏硬度试验 第1部分: 试验方法》GB/T 231.1-2018 </w:t>
            </w:r>
          </w:p>
          <w:p>
            <w:pPr>
              <w:jc w:val="left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Arial"/>
                <w:szCs w:val="21"/>
                <w:lang w:val="fr-F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  <w:lang w:val="fr-FR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检测费用</w:t>
            </w:r>
          </w:p>
        </w:tc>
        <w:tc>
          <w:tcPr>
            <w:tcW w:w="8811" w:type="dxa"/>
            <w:gridSpan w:val="7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大写：     拾     万     千     百     拾     元         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</w:trPr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双方承诺及声明</w:t>
            </w:r>
          </w:p>
        </w:tc>
        <w:tc>
          <w:tcPr>
            <w:tcW w:w="10137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委托方：  1 .我方保证所填写的信息、提供的资料和实物确具真实性，并对检测中心所填写的信息和承诺及声明予以确认。我方保证按时交清检测费用、领取报告和退样。如选择邮寄检测报告，我方另付邮费（特快专递）。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2.若逾期2个工作日未领取退样，已检样品由检测中心自行处理。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检测单位：1.我方保证检测的科学性、公正性和准确性，对检测数据及结论负责；对委托方提供的检测样品和技术资料保密；对委托方填写的委托检测产品及参数、样品处理和报告领取的信息予以确认。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2.送检类型的检测，其检测数据及结论仅对来样负责。</w:t>
            </w:r>
          </w:p>
          <w:p>
            <w:pPr>
              <w:ind w:left="1260" w:hanging="126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本协议书经双方确认签名、委托方付清检测费后生效，委托方领取检测报告后本协议书自行失效。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委托方经手人签名：                       业务受理人签名：</w:t>
            </w:r>
          </w:p>
          <w:p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                                联系电话：                                  20    年    月    日</w:t>
            </w:r>
          </w:p>
        </w:tc>
      </w:tr>
    </w:tbl>
    <w:p>
      <w:pPr>
        <w:snapToGrid w:val="0"/>
        <w:jc w:val="both"/>
        <w:rPr>
          <w:rFonts w:hint="eastAsia" w:ascii="宋体" w:hAnsi="宋体" w:cs="宋体"/>
          <w:sz w:val="20"/>
          <w:szCs w:val="20"/>
        </w:rPr>
      </w:pPr>
    </w:p>
    <w:p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>
      <w:pPr>
        <w:jc w:val="left"/>
        <w:rPr>
          <w:sz w:val="28"/>
          <w:szCs w:val="28"/>
        </w:rPr>
      </w:pP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single" w:color="auto" w:sz="6" w:space="3"/>
      </w:pBdr>
      <w:ind w:firstLine="6210"/>
      <w:jc w:val="both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>
    <w:pPr>
      <w:pStyle w:val="17"/>
      <w:pBdr>
        <w:bottom w:val="single" w:color="auto" w:sz="6" w:space="3"/>
      </w:pBdr>
      <w:jc w:val="both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>
    <w:pPr>
      <w:pStyle w:val="17"/>
      <w:pBdr>
        <w:bottom w:val="single" w:color="auto" w:sz="6" w:space="3"/>
      </w:pBdr>
      <w:ind w:firstLine="7500" w:firstLineChars="50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>
    <w:pPr>
      <w:pStyle w:val="17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9B53E8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4321C7"/>
    <w:rsid w:val="0D8F3D74"/>
    <w:rsid w:val="0D996AFE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56A4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2F3F55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36FA0"/>
    <w:rsid w:val="1EEF7160"/>
    <w:rsid w:val="1F1D7370"/>
    <w:rsid w:val="1F1F6BEC"/>
    <w:rsid w:val="1F802FA5"/>
    <w:rsid w:val="1FEF232D"/>
    <w:rsid w:val="202237C4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A91F06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123DA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637462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3A093D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C1A74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9B2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B3BD3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C34BF2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9249E4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C56820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5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5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8">
    <w:name w:val="heading 6"/>
    <w:basedOn w:val="1"/>
    <w:next w:val="5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9">
    <w:name w:val="heading 7"/>
    <w:basedOn w:val="1"/>
    <w:next w:val="5"/>
    <w:unhideWhenUsed/>
    <w:qFormat/>
    <w:uiPriority w:val="0"/>
    <w:pPr>
      <w:keepNext/>
      <w:jc w:val="center"/>
      <w:outlineLvl w:val="6"/>
    </w:pPr>
    <w:rPr>
      <w:sz w:val="28"/>
    </w:rPr>
  </w:style>
  <w:style w:type="paragraph" w:styleId="10">
    <w:name w:val="heading 8"/>
    <w:basedOn w:val="1"/>
    <w:next w:val="1"/>
    <w:autoRedefine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character" w:default="1" w:styleId="21">
    <w:name w:val="Default Paragraph Font"/>
    <w:autoRedefine/>
    <w:semiHidden/>
    <w:unhideWhenUsed/>
    <w:qFormat/>
    <w:uiPriority w:val="1"/>
  </w:style>
  <w:style w:type="table" w:default="1" w:styleId="1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11">
    <w:name w:val="annotation text"/>
    <w:basedOn w:val="1"/>
    <w:autoRedefine/>
    <w:qFormat/>
    <w:uiPriority w:val="0"/>
    <w:pPr>
      <w:jc w:val="left"/>
    </w:pPr>
  </w:style>
  <w:style w:type="paragraph" w:styleId="12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4">
    <w:name w:val="Date"/>
    <w:basedOn w:val="1"/>
    <w:next w:val="1"/>
    <w:autoRedefine/>
    <w:qFormat/>
    <w:uiPriority w:val="0"/>
    <w:rPr>
      <w:sz w:val="28"/>
    </w:rPr>
  </w:style>
  <w:style w:type="paragraph" w:styleId="15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8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20">
    <w:name w:val="Table Grid"/>
    <w:basedOn w:val="1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age number"/>
    <w:basedOn w:val="21"/>
    <w:autoRedefine/>
    <w:qFormat/>
    <w:uiPriority w:val="0"/>
  </w:style>
  <w:style w:type="character" w:styleId="23">
    <w:name w:val="Hyperlink"/>
    <w:basedOn w:val="21"/>
    <w:autoRedefine/>
    <w:qFormat/>
    <w:uiPriority w:val="0"/>
    <w:rPr>
      <w:color w:val="0000FF"/>
      <w:u w:val="single"/>
    </w:rPr>
  </w:style>
  <w:style w:type="paragraph" w:customStyle="1" w:styleId="24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5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6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7">
    <w:name w:val="一级条标题"/>
    <w:basedOn w:val="28"/>
    <w:next w:val="24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8">
    <w:name w:val="章标题"/>
    <w:next w:val="24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9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30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31">
    <w:name w:val="常规1"/>
    <w:basedOn w:val="19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0</TotalTime>
  <ScaleCrop>false</ScaleCrop>
  <LinksUpToDate>false</LinksUpToDate>
  <CharactersWithSpaces>1401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2023-11-22T02:33:00Z</cp:lastPrinted>
  <dcterms:modified xsi:type="dcterms:W3CDTF">2024-03-20T03:44:43Z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E30EAEC9C7C246D1AEC46E10CD541134_13</vt:lpwstr>
  </property>
</Properties>
</file>